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1E2B67" wp14:editId="1273C3D8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AB08E3" w:rsidRPr="009D56AB" w:rsidRDefault="00AB08E3" w:rsidP="00AB08E3">
      <w:pPr>
        <w:jc w:val="center"/>
        <w:rPr>
          <w:b/>
          <w:sz w:val="24"/>
        </w:rPr>
      </w:pPr>
      <w:r w:rsidRPr="0030700D">
        <w:rPr>
          <w:b/>
          <w:sz w:val="24"/>
        </w:rPr>
        <w:t xml:space="preserve">Oprava kabelů </w:t>
      </w:r>
      <w:r>
        <w:rPr>
          <w:b/>
          <w:sz w:val="24"/>
        </w:rPr>
        <w:t>stabilního hasicího zařízení (</w:t>
      </w:r>
      <w:r w:rsidRPr="0030700D">
        <w:rPr>
          <w:b/>
          <w:sz w:val="24"/>
        </w:rPr>
        <w:t>SHZ</w:t>
      </w:r>
      <w:r>
        <w:rPr>
          <w:b/>
          <w:sz w:val="24"/>
        </w:rPr>
        <w:t>)</w:t>
      </w:r>
      <w:r w:rsidRPr="009D56AB">
        <w:rPr>
          <w:b/>
          <w:sz w:val="24"/>
        </w:rPr>
        <w:t xml:space="preserve">, sklad </w:t>
      </w:r>
      <w:r>
        <w:rPr>
          <w:b/>
          <w:sz w:val="24"/>
        </w:rPr>
        <w:t>Klobouky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1334ED">
        <w:t xml:space="preserve"> </w:t>
      </w:r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68"/>
        <w:gridCol w:w="2182"/>
        <w:gridCol w:w="1688"/>
        <w:gridCol w:w="3234"/>
      </w:tblGrid>
      <w:tr w:rsidR="00C30D59" w:rsidRPr="009A21C7" w:rsidTr="004F6E37">
        <w:trPr>
          <w:trHeight w:val="401"/>
        </w:trPr>
        <w:tc>
          <w:tcPr>
            <w:tcW w:w="2468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182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688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3234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4F6E37">
        <w:tc>
          <w:tcPr>
            <w:tcW w:w="2468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182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 Hošková</w:t>
            </w:r>
          </w:p>
        </w:tc>
        <w:tc>
          <w:tcPr>
            <w:tcW w:w="1688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221 968 246</w:t>
            </w:r>
          </w:p>
        </w:tc>
        <w:tc>
          <w:tcPr>
            <w:tcW w:w="3234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lenka.hoskova@ceproas.cz</w:t>
            </w:r>
          </w:p>
        </w:tc>
      </w:tr>
      <w:tr w:rsidR="00462AE6" w:rsidRPr="009A21C7" w:rsidTr="004F6E37">
        <w:tc>
          <w:tcPr>
            <w:tcW w:w="2468" w:type="dxa"/>
            <w:vAlign w:val="center"/>
          </w:tcPr>
          <w:p w:rsidR="00462AE6" w:rsidRPr="009A0F9B" w:rsidRDefault="00462AE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182" w:type="dxa"/>
            <w:vAlign w:val="center"/>
          </w:tcPr>
          <w:p w:rsidR="00462AE6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Bc. Vladimír Čapka</w:t>
            </w:r>
          </w:p>
        </w:tc>
        <w:tc>
          <w:tcPr>
            <w:tcW w:w="1688" w:type="dxa"/>
            <w:vAlign w:val="center"/>
          </w:tcPr>
          <w:p w:rsidR="00462AE6" w:rsidRPr="00462AE6" w:rsidRDefault="00462AE6" w:rsidP="004F6E37">
            <w:pPr>
              <w:jc w:val="left"/>
              <w:rPr>
                <w:sz w:val="16"/>
                <w:szCs w:val="16"/>
              </w:rPr>
            </w:pPr>
            <w:r w:rsidRPr="00462AE6">
              <w:rPr>
                <w:color w:val="010101"/>
                <w:sz w:val="16"/>
                <w:szCs w:val="16"/>
              </w:rPr>
              <w:t xml:space="preserve">739 240 </w:t>
            </w:r>
            <w:r w:rsidR="004F6E37" w:rsidRPr="00462AE6">
              <w:rPr>
                <w:color w:val="010101"/>
                <w:sz w:val="16"/>
                <w:szCs w:val="16"/>
              </w:rPr>
              <w:t>3</w:t>
            </w:r>
            <w:r w:rsidR="004F6E37">
              <w:rPr>
                <w:color w:val="010101"/>
                <w:sz w:val="16"/>
                <w:szCs w:val="16"/>
              </w:rPr>
              <w:t>54</w:t>
            </w:r>
          </w:p>
        </w:tc>
        <w:tc>
          <w:tcPr>
            <w:tcW w:w="3234" w:type="dxa"/>
            <w:vAlign w:val="center"/>
          </w:tcPr>
          <w:p w:rsidR="00462AE6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vladimir.capka</w:t>
            </w:r>
            <w:r w:rsidR="00462AE6" w:rsidRPr="00462AE6">
              <w:rPr>
                <w:sz w:val="16"/>
                <w:szCs w:val="16"/>
              </w:rPr>
              <w:t>@ceproas.cz</w:t>
            </w:r>
          </w:p>
        </w:tc>
      </w:tr>
      <w:tr w:rsidR="004F6E37" w:rsidRPr="009A21C7" w:rsidTr="004F6E37">
        <w:tc>
          <w:tcPr>
            <w:tcW w:w="2468" w:type="dxa"/>
            <w:vAlign w:val="center"/>
          </w:tcPr>
          <w:p w:rsidR="004F6E37" w:rsidRPr="009A0F9B" w:rsidRDefault="004F6E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182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Bc. Vladimír Čapka</w:t>
            </w:r>
          </w:p>
        </w:tc>
        <w:tc>
          <w:tcPr>
            <w:tcW w:w="1688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 w:rsidRPr="00462AE6">
              <w:rPr>
                <w:color w:val="010101"/>
                <w:sz w:val="16"/>
                <w:szCs w:val="16"/>
              </w:rPr>
              <w:t>739 240 3</w:t>
            </w:r>
            <w:r>
              <w:rPr>
                <w:color w:val="010101"/>
                <w:sz w:val="16"/>
                <w:szCs w:val="16"/>
              </w:rPr>
              <w:t>54</w:t>
            </w:r>
          </w:p>
        </w:tc>
        <w:tc>
          <w:tcPr>
            <w:tcW w:w="3234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vladimir.capka</w:t>
            </w:r>
            <w:r w:rsidRPr="00462AE6">
              <w:rPr>
                <w:sz w:val="16"/>
                <w:szCs w:val="16"/>
              </w:rPr>
              <w:t>@ceproas.cz</w:t>
            </w:r>
          </w:p>
        </w:tc>
      </w:tr>
      <w:tr w:rsidR="004F6E37" w:rsidRPr="009A21C7" w:rsidTr="004F6E37">
        <w:tc>
          <w:tcPr>
            <w:tcW w:w="2468" w:type="dxa"/>
            <w:vAlign w:val="center"/>
          </w:tcPr>
          <w:p w:rsidR="004F6E37" w:rsidRPr="009A0F9B" w:rsidRDefault="004F6E37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182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Bc. Vladimír Čapka</w:t>
            </w:r>
          </w:p>
        </w:tc>
        <w:tc>
          <w:tcPr>
            <w:tcW w:w="1688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 w:rsidRPr="00462AE6">
              <w:rPr>
                <w:color w:val="010101"/>
                <w:sz w:val="16"/>
                <w:szCs w:val="16"/>
              </w:rPr>
              <w:t>739 240 3</w:t>
            </w:r>
            <w:r>
              <w:rPr>
                <w:color w:val="010101"/>
                <w:sz w:val="16"/>
                <w:szCs w:val="16"/>
              </w:rPr>
              <w:t>54</w:t>
            </w:r>
          </w:p>
        </w:tc>
        <w:tc>
          <w:tcPr>
            <w:tcW w:w="3234" w:type="dxa"/>
            <w:vAlign w:val="center"/>
          </w:tcPr>
          <w:p w:rsidR="004F6E37" w:rsidRPr="00462AE6" w:rsidRDefault="004F6E37" w:rsidP="00A619DC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vladimir.capka</w:t>
            </w:r>
            <w:r w:rsidRPr="00462AE6">
              <w:rPr>
                <w:sz w:val="16"/>
                <w:szCs w:val="16"/>
              </w:rPr>
              <w:t>@ceproas.cz</w:t>
            </w:r>
          </w:p>
        </w:tc>
      </w:tr>
      <w:tr w:rsidR="00083C04" w:rsidRPr="009A21C7" w:rsidTr="004F6E37">
        <w:tc>
          <w:tcPr>
            <w:tcW w:w="2468" w:type="dxa"/>
            <w:vAlign w:val="center"/>
          </w:tcPr>
          <w:p w:rsidR="00083C04" w:rsidRPr="009A0F9B" w:rsidRDefault="00083C04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182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688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234" w:type="dxa"/>
            <w:vAlign w:val="center"/>
          </w:tcPr>
          <w:p w:rsidR="00083C04" w:rsidRPr="00083C04" w:rsidRDefault="00083C04" w:rsidP="00B47809">
            <w:pPr>
              <w:jc w:val="left"/>
              <w:rPr>
                <w:sz w:val="18"/>
                <w:szCs w:val="18"/>
              </w:rPr>
            </w:pP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……….., oddíl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r>
        <w:t>č.účtu</w:t>
      </w:r>
      <w:proofErr w:type="spell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……………...</w:t>
      </w:r>
    </w:p>
    <w:p w:rsidR="00C30D59" w:rsidRDefault="001334ED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Pr="003B68C3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</w:t>
      </w:r>
      <w:r w:rsidRPr="003B68C3">
        <w:t xml:space="preserve">této Smlouvy. </w:t>
      </w:r>
    </w:p>
    <w:p w:rsidR="00707B5E" w:rsidRDefault="00B20BE0" w:rsidP="00707B5E">
      <w:pPr>
        <w:pStyle w:val="Odstavec2"/>
      </w:pPr>
      <w:r w:rsidRPr="003B68C3">
        <w:t>Předmětem této Smlouvy je realizace díla „</w:t>
      </w:r>
      <w:r w:rsidR="00133037" w:rsidRPr="003B68C3">
        <w:t>Oprava kabelů stabilního hasicího zařízení (SHZ), sklad Klobouky</w:t>
      </w:r>
      <w:r w:rsidRPr="003B68C3">
        <w:t xml:space="preserve">“, které zahrnuje zejména </w:t>
      </w:r>
    </w:p>
    <w:p w:rsidR="00707B5E" w:rsidRDefault="00B20BE0" w:rsidP="000D6CC2">
      <w:pPr>
        <w:pStyle w:val="Odstavec3"/>
      </w:pPr>
      <w:r w:rsidRPr="003B68C3">
        <w:t>vypra</w:t>
      </w:r>
      <w:r w:rsidR="003B68C3">
        <w:t>cování technologického postupu</w:t>
      </w:r>
      <w:r w:rsidR="00707B5E">
        <w:t>;</w:t>
      </w:r>
      <w:r w:rsidR="003B68C3">
        <w:t xml:space="preserve"> </w:t>
      </w:r>
    </w:p>
    <w:p w:rsidR="00707B5E" w:rsidRDefault="003B68C3" w:rsidP="000D6CC2">
      <w:pPr>
        <w:pStyle w:val="Odstavec3"/>
      </w:pPr>
      <w:r w:rsidRPr="003B68C3">
        <w:t>kompletní výměnu podzemní kabeláže v délce 180 metrů od požárního štítu B do rozvodny pole RMS 524</w:t>
      </w:r>
      <w:r w:rsidR="00707B5E">
        <w:t xml:space="preserve">; </w:t>
      </w:r>
    </w:p>
    <w:p w:rsidR="00707B5E" w:rsidRDefault="00707B5E" w:rsidP="000D6CC2">
      <w:pPr>
        <w:pStyle w:val="Odstavec3"/>
      </w:pPr>
      <w:r>
        <w:t>p</w:t>
      </w:r>
      <w:r w:rsidR="003B68C3" w:rsidRPr="003B68C3">
        <w:t>rovedení výkopu stávající trasy vadné kabeláže v délce 95 m (část cca 70 m nutno ručně), hloubka výkopu max. 0,7 m</w:t>
      </w:r>
      <w:r>
        <w:t>;</w:t>
      </w:r>
      <w:r w:rsidR="003B68C3">
        <w:t xml:space="preserve"> </w:t>
      </w:r>
    </w:p>
    <w:p w:rsidR="00707B5E" w:rsidRDefault="00707B5E" w:rsidP="000D6CC2">
      <w:pPr>
        <w:pStyle w:val="Odstavec3"/>
      </w:pPr>
      <w:r>
        <w:t>p</w:t>
      </w:r>
      <w:r w:rsidR="003B68C3" w:rsidRPr="003B68C3">
        <w:t xml:space="preserve">okládku kabeláže do výkopu dle </w:t>
      </w:r>
      <w:r>
        <w:t xml:space="preserve">platné </w:t>
      </w:r>
      <w:r w:rsidR="003B68C3" w:rsidRPr="003B68C3">
        <w:t>legislativy, položení ochranných prvků a zásypu, přepojení nové kabeláže dle dokumentace a zapojení  – viz tabulka kabelů F3E u požárního štítu dle schématu a svorkovnicového zapojení v RMS 524</w:t>
      </w:r>
      <w:r>
        <w:t>;</w:t>
      </w:r>
    </w:p>
    <w:p w:rsidR="00707B5E" w:rsidRDefault="00707B5E" w:rsidP="000D6CC2">
      <w:pPr>
        <w:pStyle w:val="Odstavec3"/>
      </w:pPr>
      <w:r>
        <w:t>o</w:t>
      </w:r>
      <w:r w:rsidR="003B68C3" w:rsidRPr="003B68C3">
        <w:t>živení a odzkoušení funkčnosti – provedení revize a vyhotovení revizní výchozí zprávy</w:t>
      </w:r>
      <w:r>
        <w:t>;</w:t>
      </w:r>
      <w:r w:rsidR="003B68C3">
        <w:t xml:space="preserve"> </w:t>
      </w:r>
    </w:p>
    <w:p w:rsidR="00707B5E" w:rsidRDefault="003B68C3" w:rsidP="000D6CC2">
      <w:pPr>
        <w:pStyle w:val="Odstavec3"/>
      </w:pPr>
      <w:r w:rsidRPr="003B68C3">
        <w:t>Zásyp výkopu a úprava terénu do původního stavu</w:t>
      </w:r>
      <w:r w:rsidR="00707B5E">
        <w:t>;</w:t>
      </w:r>
    </w:p>
    <w:p w:rsidR="003B68C3" w:rsidRDefault="00707B5E" w:rsidP="000D6CC2">
      <w:pPr>
        <w:pStyle w:val="Odstavec3"/>
      </w:pPr>
      <w:r>
        <w:t>vypracování dokumentace skutečného provedení</w:t>
      </w:r>
      <w:r w:rsidR="00027D65">
        <w:t>.</w:t>
      </w:r>
    </w:p>
    <w:p w:rsidR="004F6E37" w:rsidRPr="003B68C3" w:rsidRDefault="004F6E37" w:rsidP="003B68C3">
      <w:pPr>
        <w:spacing w:before="120" w:after="0"/>
        <w:ind w:left="360"/>
        <w:rPr>
          <w:rFonts w:cs="Arial"/>
          <w:szCs w:val="20"/>
        </w:rPr>
      </w:pPr>
    </w:p>
    <w:p w:rsidR="00B20BE0" w:rsidRPr="00B20BE0" w:rsidRDefault="00B20BE0" w:rsidP="000D6CC2">
      <w:pPr>
        <w:pStyle w:val="Odstavec2"/>
        <w:numPr>
          <w:ilvl w:val="0"/>
          <w:numId w:val="0"/>
        </w:numPr>
        <w:ind w:left="567"/>
      </w:pPr>
      <w:r w:rsidRPr="00176B5F">
        <w:t>(dále</w:t>
      </w:r>
      <w:r w:rsidRPr="00B20BE0">
        <w:t xml:space="preserve"> jen „</w:t>
      </w:r>
      <w:r w:rsidRPr="00F777DB">
        <w:rPr>
          <w:b/>
          <w:i/>
        </w:rPr>
        <w:t>Dílo</w:t>
      </w:r>
      <w:r w:rsidRPr="00B20BE0">
        <w:t>“).</w:t>
      </w:r>
    </w:p>
    <w:p w:rsidR="00B20BE0" w:rsidRDefault="00B20BE0" w:rsidP="00A123F2">
      <w:pPr>
        <w:pStyle w:val="Odstavec2"/>
      </w:pPr>
      <w:r>
        <w:t xml:space="preserve">Zhotovitel je povinen provést </w:t>
      </w:r>
      <w:r w:rsidR="008C7BBB">
        <w:t>D</w:t>
      </w:r>
      <w:r>
        <w:t>ílo v rozsahu a dle technického řešení podle níže uvedené dokumentace (dále jen „Závazné podklady“)</w:t>
      </w:r>
      <w:r w:rsidR="00707B5E">
        <w:t>:</w:t>
      </w:r>
    </w:p>
    <w:p w:rsidR="00B20BE0" w:rsidRDefault="00B20BE0" w:rsidP="005363FD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r w:rsidR="00D50A14">
        <w:t>21. 5. 2014</w:t>
      </w:r>
      <w:bookmarkStart w:id="0" w:name="_GoBack"/>
      <w:bookmarkEnd w:id="0"/>
      <w:r>
        <w:t xml:space="preserve"> k zakázce č.</w:t>
      </w:r>
      <w:r w:rsidR="007344D8">
        <w:t xml:space="preserve"> </w:t>
      </w:r>
      <w:r w:rsidR="00C96D70">
        <w:t>12</w:t>
      </w:r>
      <w:r w:rsidR="005363FD">
        <w:t>7</w:t>
      </w:r>
      <w:r w:rsidR="00075F35">
        <w:t>/14/OCN</w:t>
      </w:r>
      <w:r>
        <w:t>, nazvané „</w:t>
      </w:r>
      <w:r w:rsidR="005363FD" w:rsidRPr="005363FD">
        <w:t>Oprava kabelů stabilního hasicího zařízení (SHZ), sklad Klobouky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>“),</w:t>
      </w:r>
      <w:r w:rsidR="00707B5E">
        <w:t xml:space="preserve"> </w:t>
      </w:r>
      <w:r w:rsidR="00707B5E" w:rsidRPr="00D51173">
        <w:t xml:space="preserve">zejména </w:t>
      </w:r>
      <w:r w:rsidR="00707B5E">
        <w:t>dle</w:t>
      </w:r>
      <w:r w:rsidR="00707B5E" w:rsidRPr="00D51173">
        <w:t xml:space="preserve"> projektové dokumentac</w:t>
      </w:r>
      <w:r w:rsidR="00707B5E">
        <w:t>e</w:t>
      </w:r>
      <w:r w:rsidR="00707B5E" w:rsidRPr="00D51173">
        <w:t xml:space="preserve"> („PD“), zpracované firmou</w:t>
      </w:r>
      <w:r w:rsidR="00707B5E">
        <w:t xml:space="preserve"> </w:t>
      </w:r>
      <w:r w:rsidR="00707B5E" w:rsidRPr="00A123F2">
        <w:t>PIK s.</w:t>
      </w:r>
      <w:r w:rsidR="00520032">
        <w:t xml:space="preserve"> </w:t>
      </w:r>
      <w:r w:rsidR="00707B5E" w:rsidRPr="00A123F2">
        <w:t>r. o., Na Hrázi 781/15, Přerov 1, PSČ 750 02, datum vyhotovení červen 2012, zakázkové číslo projektu 12035-DVZ-F3E-509-01-001</w:t>
      </w:r>
      <w:r w:rsidR="00707B5E">
        <w:t xml:space="preserve">: </w:t>
      </w:r>
      <w:r>
        <w:t xml:space="preserve">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0A71AC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</w:t>
      </w:r>
      <w:r w:rsidR="00E44CD0" w:rsidRPr="00E44CD0">
        <w:lastRenderedPageBreak/>
        <w:t xml:space="preserve">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0A71AC">
        <w:t>S</w:t>
      </w:r>
      <w:r w:rsidR="00E44CD0" w:rsidRPr="00E44CD0">
        <w:t>taveniště.</w:t>
      </w:r>
    </w:p>
    <w:p w:rsidR="00707B5E" w:rsidRPr="000D6CC2" w:rsidRDefault="00707B5E" w:rsidP="00B9564E">
      <w:pPr>
        <w:pStyle w:val="Odstavec2"/>
        <w:rPr>
          <w:rFonts w:ascii="Times New Roman" w:hAnsi="Times New Roman"/>
          <w:color w:val="000000"/>
        </w:rPr>
      </w:pPr>
      <w:r>
        <w:rPr>
          <w:rFonts w:cs="Arial"/>
          <w:color w:val="000000"/>
        </w:rPr>
        <w:t xml:space="preserve">Projektovou dokumentaci </w:t>
      </w:r>
      <w:r>
        <w:t>zpracovanou</w:t>
      </w:r>
      <w:r w:rsidRPr="00D51173">
        <w:t xml:space="preserve"> firmou</w:t>
      </w:r>
      <w:r>
        <w:t xml:space="preserve"> </w:t>
      </w:r>
      <w:r w:rsidRPr="00A123F2">
        <w:t>PIK s.</w:t>
      </w:r>
      <w:r w:rsidR="00520032">
        <w:t xml:space="preserve"> </w:t>
      </w:r>
      <w:r w:rsidRPr="00A123F2">
        <w:t>r. o., Na Hrázi 781/15, Přerov 1, PSČ 750 02, datum vyhotovení červen 2012, zakázkové číslo projektu 12035-DVZ-F3E-509-01-001</w:t>
      </w:r>
      <w:r>
        <w:t xml:space="preserve"> předal Objednatel Zhotoviteli již jako součást Závazných podkladů v průběhu výběrového řízení</w:t>
      </w:r>
      <w:r w:rsidR="00F771E8">
        <w:t>, tj. před uzavřením této Smlouvy, což Zhotovitel stvrzuje podpisem této Smlouvy.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Pr="000D6CC2" w:rsidRDefault="00926145" w:rsidP="00926145">
      <w:pPr>
        <w:pStyle w:val="Odstavec3"/>
        <w:numPr>
          <w:ilvl w:val="0"/>
          <w:numId w:val="0"/>
        </w:numPr>
        <w:ind w:left="1134"/>
        <w:rPr>
          <w:rFonts w:cs="Arial"/>
          <w:color w:val="000000"/>
        </w:rPr>
      </w:pPr>
      <w:r w:rsidRPr="000D6CC2">
        <w:rPr>
          <w:rFonts w:cs="Arial"/>
          <w:color w:val="000000"/>
        </w:rPr>
        <w:t xml:space="preserve">požární asistenci jedné jednotky </w:t>
      </w:r>
      <w:proofErr w:type="spellStart"/>
      <w:r w:rsidRPr="000D6CC2">
        <w:rPr>
          <w:rFonts w:cs="Arial"/>
          <w:color w:val="000000"/>
        </w:rPr>
        <w:t>HZSp</w:t>
      </w:r>
      <w:proofErr w:type="spellEnd"/>
      <w:r w:rsidRPr="000D6CC2">
        <w:rPr>
          <w:rFonts w:cs="Arial"/>
          <w:color w:val="000000"/>
        </w:rPr>
        <w:t xml:space="preserve"> ČEPRO, a.s., Klobouky u Brna po dobu </w:t>
      </w:r>
      <w:r w:rsidR="00EA7905" w:rsidRPr="000D6CC2">
        <w:rPr>
          <w:rFonts w:cs="Arial"/>
          <w:color w:val="000000"/>
        </w:rPr>
        <w:t>realizace Díla</w:t>
      </w:r>
      <w:r w:rsidRPr="000D6CC2">
        <w:rPr>
          <w:rFonts w:cs="Arial"/>
          <w:color w:val="000000"/>
        </w:rPr>
        <w:t xml:space="preserve"> v návaznosti na předložený harmonogram plnění při koordinované dohodě s vedením </w:t>
      </w:r>
      <w:proofErr w:type="spellStart"/>
      <w:r w:rsidRPr="000D6CC2">
        <w:rPr>
          <w:rFonts w:cs="Arial"/>
          <w:color w:val="000000"/>
        </w:rPr>
        <w:t>HZSp</w:t>
      </w:r>
      <w:proofErr w:type="spellEnd"/>
      <w:r w:rsidRPr="000D6CC2">
        <w:rPr>
          <w:rFonts w:cs="Arial"/>
          <w:color w:val="000000"/>
        </w:rPr>
        <w:t xml:space="preserve"> ČEPRO, a.s., Klobouky při provádění prací v ZÓNĚ 1 s nebezpečím výbuchu par a plynů </w:t>
      </w:r>
      <w:r w:rsidR="00B9564E" w:rsidRPr="000D6CC2">
        <w:rPr>
          <w:rFonts w:cs="Arial"/>
          <w:color w:val="000000"/>
        </w:rPr>
        <w:t xml:space="preserve"> 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t xml:space="preserve">vstupní proškolení pracovníků </w:t>
      </w:r>
      <w:r w:rsidR="00EA7905">
        <w:rPr>
          <w:rFonts w:cs="Arial"/>
          <w:color w:val="000000"/>
        </w:rPr>
        <w:t>a dalších osob na straně Zhotovitele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 xml:space="preserve">ČEPRO, a.s., sklad </w:t>
      </w:r>
      <w:r w:rsidR="00EA7905">
        <w:t>Klobouky u Brna</w:t>
      </w:r>
      <w:r w:rsidR="00F771E8">
        <w:t>.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="00EA7905">
        <w:t xml:space="preserve">skladu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EA7905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 xml:space="preserve">Termíny </w:t>
      </w:r>
      <w:r w:rsidR="00EA7905">
        <w:t xml:space="preserve">a lhůty pro </w:t>
      </w:r>
      <w:r w:rsidRPr="007F3FC6">
        <w:t>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Díla: </w:t>
      </w:r>
      <w:r w:rsidR="008F33E5">
        <w:t xml:space="preserve">      </w:t>
      </w:r>
      <w:r w:rsidR="00A123F2">
        <w:t xml:space="preserve">červenec </w:t>
      </w:r>
      <w:r w:rsidR="008F33E5">
        <w:t>2014, do 10 dnů od písemné výzvy Objednatele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Díla: </w:t>
      </w:r>
      <w:r w:rsidR="000E447C" w:rsidRPr="00EA3690">
        <w:t xml:space="preserve">   do</w:t>
      </w:r>
      <w:r w:rsidR="008F33E5">
        <w:t xml:space="preserve"> 40 dnů</w:t>
      </w:r>
      <w:r w:rsidR="000E447C" w:rsidRPr="00EA3690">
        <w:t xml:space="preserve">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>Předání Díla:</w:t>
      </w:r>
      <w:r w:rsidR="000E447C" w:rsidRPr="00EA3690">
        <w:t xml:space="preserve">        do</w:t>
      </w:r>
      <w:r w:rsidR="008F33E5">
        <w:t xml:space="preserve">  40 </w:t>
      </w:r>
      <w:r w:rsidR="000E447C" w:rsidRPr="00EA3690">
        <w:t xml:space="preserve">dnů od </w:t>
      </w:r>
      <w:r w:rsidR="00B01A17">
        <w:t xml:space="preserve">zahájení </w:t>
      </w:r>
      <w:r w:rsidR="000E447C" w:rsidRPr="00EA3690">
        <w:t>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Default="007F3FC6" w:rsidP="00F771E8">
      <w:pPr>
        <w:pStyle w:val="Odstavec2"/>
      </w:pPr>
      <w:r w:rsidRPr="007F3FC6">
        <w:t>Řádné provedení Díla</w:t>
      </w:r>
      <w:r>
        <w:t xml:space="preserve"> </w:t>
      </w:r>
      <w:r w:rsidRPr="00EA3690">
        <w:t>nevyžaduje odstávku/y provozu Objednatele či jeho části</w:t>
      </w:r>
      <w:r w:rsidR="006833FC" w:rsidRPr="00EA3690">
        <w:t>.</w:t>
      </w:r>
      <w:r w:rsidR="006833FC">
        <w:t>.</w:t>
      </w:r>
      <w:r w:rsidR="00707B5E" w:rsidRPr="00707B5E">
        <w:t xml:space="preserve"> </w:t>
      </w:r>
      <w:r w:rsidR="00F771E8">
        <w:t xml:space="preserve">Zhotovitel je povinen realizovat Dílo tak, aby stávající </w:t>
      </w:r>
      <w:r w:rsidR="00707B5E" w:rsidRPr="004F6E37">
        <w:t xml:space="preserve">zapojení </w:t>
      </w:r>
      <w:r w:rsidR="00F771E8">
        <w:t>SHZ bylo a zůstalo</w:t>
      </w:r>
      <w:r w:rsidR="00707B5E" w:rsidRPr="004F6E37">
        <w:t xml:space="preserve"> funkční po celou dobu</w:t>
      </w:r>
      <w:r w:rsidR="00F771E8">
        <w:t xml:space="preserve"> realizace Díla do fáze Díla, v níž Zhotovitel systém</w:t>
      </w:r>
      <w:r w:rsidR="00707B5E" w:rsidRPr="004F6E37">
        <w:t> přep</w:t>
      </w:r>
      <w:r w:rsidR="00F771E8">
        <w:t>ojí a oživí</w:t>
      </w:r>
      <w:r w:rsidR="00707B5E">
        <w:t>.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lastRenderedPageBreak/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(slovy:......................................</w:t>
      </w:r>
      <w:proofErr w:type="spellStart"/>
      <w:r w:rsidR="00F26914" w:rsidRPr="00F26914">
        <w:t>korunčeských</w:t>
      </w:r>
      <w:proofErr w:type="spell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EA7905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podobě:  z elektronické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9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9518BD" w:rsidRDefault="009518BD" w:rsidP="009518BD">
      <w:pPr>
        <w:pStyle w:val="Odstavec2"/>
        <w:numPr>
          <w:ilvl w:val="0"/>
          <w:numId w:val="0"/>
        </w:numPr>
        <w:ind w:left="567"/>
      </w:pPr>
      <w:r>
        <w:t>Na faktuře bude uvedeno číslo objednávky Objednatele 45000..........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000BAA" w:rsidRDefault="00000BAA" w:rsidP="00000BAA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000BAA" w:rsidRDefault="00000BAA" w:rsidP="00000BAA">
      <w:pPr>
        <w:pStyle w:val="Odstavec3"/>
      </w:pPr>
      <w:r>
        <w:t xml:space="preserve">pracovní deník - originál pro archivaci </w:t>
      </w:r>
      <w:r w:rsidR="00EA7905">
        <w:t xml:space="preserve">Objednatele </w:t>
      </w:r>
      <w:r>
        <w:t xml:space="preserve">a jednu kopii, v pracovním deníku bude zapsán postup realizace </w:t>
      </w:r>
      <w:r w:rsidR="00EA7905">
        <w:t>D</w:t>
      </w:r>
      <w:r>
        <w:t>íla a skutečnosti mající vliv na jeho kvalitu</w:t>
      </w:r>
    </w:p>
    <w:p w:rsidR="00000BAA" w:rsidRDefault="00000BAA" w:rsidP="00000BAA">
      <w:pPr>
        <w:pStyle w:val="Odstavec3"/>
      </w:pPr>
      <w:r>
        <w:t>atesty, certifikáty a osvědčení o jakosti (zkouškách) použitých materiálů, strojů a zařízení</w:t>
      </w:r>
    </w:p>
    <w:p w:rsidR="00000BAA" w:rsidRDefault="00000BAA" w:rsidP="00000BAA">
      <w:pPr>
        <w:pStyle w:val="Odstavec3"/>
      </w:pPr>
      <w:r>
        <w:t xml:space="preserve">návod k použití, k obsluze a údržbě s ohledem na bezpečnost práce </w:t>
      </w:r>
    </w:p>
    <w:p w:rsidR="00000BAA" w:rsidRDefault="00000BAA" w:rsidP="00000BAA">
      <w:pPr>
        <w:pStyle w:val="Odstavec3"/>
      </w:pPr>
      <w:r>
        <w:t xml:space="preserve">výchozí revizní zprávu elektroinstalace </w:t>
      </w:r>
    </w:p>
    <w:p w:rsidR="00000BAA" w:rsidRDefault="00000BAA" w:rsidP="00000BAA">
      <w:pPr>
        <w:pStyle w:val="Odstavec3"/>
      </w:pPr>
      <w:r>
        <w:t>záruční listy</w:t>
      </w:r>
    </w:p>
    <w:p w:rsidR="00000BAA" w:rsidRDefault="00000BAA" w:rsidP="00000BAA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656DAC">
        <w:t xml:space="preserve">listinné </w:t>
      </w:r>
      <w:r>
        <w:t>podobě a 1x na CD s dokumentací v elektronické formě ve zdrojových formátech (část elektro)</w:t>
      </w:r>
    </w:p>
    <w:p w:rsidR="00000BAA" w:rsidRDefault="00000BAA" w:rsidP="00000BAA">
      <w:pPr>
        <w:pStyle w:val="Odstavec3"/>
      </w:pPr>
      <w:r>
        <w:t xml:space="preserve">doklady o ekologické likvidaci veškerých odpadů vzniklých prováděním </w:t>
      </w:r>
      <w:r w:rsidR="00656DAC">
        <w:t>D</w:t>
      </w:r>
      <w:r>
        <w:t xml:space="preserve">íla   </w:t>
      </w:r>
    </w:p>
    <w:p w:rsidR="00000BAA" w:rsidRDefault="00000BAA" w:rsidP="00000BAA">
      <w:pPr>
        <w:pStyle w:val="Odstavec3"/>
      </w:pPr>
      <w:r>
        <w:t>další potřebné dokumenty dle právních a technických předpisů vydaných a platných v České republice</w:t>
      </w:r>
    </w:p>
    <w:p w:rsidR="00A657FF" w:rsidRDefault="00A657FF" w:rsidP="00000BAA">
      <w:pPr>
        <w:pStyle w:val="Odstavec3"/>
        <w:numPr>
          <w:ilvl w:val="0"/>
          <w:numId w:val="0"/>
        </w:numPr>
        <w:ind w:left="1134"/>
      </w:pP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2</w:t>
      </w:r>
      <w:r w:rsidR="00CD1BFE" w:rsidRPr="00245A60">
        <w:t>x v listinné podobě;</w:t>
      </w:r>
    </w:p>
    <w:p w:rsidR="00CD1BFE" w:rsidRPr="00245A60" w:rsidRDefault="00496072" w:rsidP="00CD1BFE">
      <w:pPr>
        <w:pStyle w:val="Odstavec2"/>
        <w:numPr>
          <w:ilvl w:val="0"/>
          <w:numId w:val="29"/>
        </w:numPr>
      </w:pPr>
      <w:r w:rsidRPr="00245A60">
        <w:t>1</w:t>
      </w:r>
      <w:r w:rsidR="00CD1BFE" w:rsidRPr="00245A60">
        <w:t xml:space="preserve">x v elektronické podobě ve formátu </w:t>
      </w:r>
      <w:proofErr w:type="spellStart"/>
      <w:r w:rsidR="00CD1BFE" w:rsidRPr="00245A60">
        <w:t>pdf</w:t>
      </w:r>
      <w:proofErr w:type="spellEnd"/>
      <w:r w:rsidR="00CD1BFE" w:rsidRPr="00245A60">
        <w:t xml:space="preserve"> 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do </w:t>
      </w:r>
      <w:r w:rsidR="00245A60">
        <w:t>3</w:t>
      </w:r>
      <w:r w:rsidRPr="00216448">
        <w:t xml:space="preserve"> </w:t>
      </w:r>
      <w:r w:rsidR="00245A60">
        <w:t xml:space="preserve">dnů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  <w:r w:rsidR="00520032">
        <w:t>.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životním prostředí (za únik znečišťujících látek) s pojistným plněním ve výši min. </w:t>
      </w:r>
      <w:r w:rsidR="00C25681" w:rsidRPr="00C25681">
        <w:t>1.000.000</w:t>
      </w:r>
      <w:r w:rsidRPr="00C25681">
        <w:t>,- Kč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</w:t>
      </w:r>
      <w:r w:rsidRPr="00280022">
        <w:lastRenderedPageBreak/>
        <w:t xml:space="preserve">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7945EE">
        <w:t>1.000</w:t>
      </w:r>
      <w:r w:rsidRPr="007945EE">
        <w:t>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1F253F">
      <w:pPr>
        <w:pStyle w:val="Odstavec2"/>
        <w:numPr>
          <w:ilvl w:val="0"/>
          <w:numId w:val="0"/>
        </w:numPr>
        <w:ind w:left="567"/>
      </w:pP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BB32B0" w:rsidRDefault="00385E5D" w:rsidP="00984653">
      <w:pPr>
        <w:pStyle w:val="Odstavec2"/>
        <w:rPr>
          <w:iCs/>
        </w:rPr>
      </w:pPr>
      <w:r w:rsidRPr="00984653">
        <w:rPr>
          <w:iCs/>
        </w:rPr>
        <w:t xml:space="preserve">Zhotovitel se zavazuje chovat se tak, aby nevzniklo jakékoliv důvodné podezření na spáchání či páchání trestného činu, který by mohl být Zhotoviteli přičten podle zákona č. 418/2011 Sb., o trestní odpovědnosti právnických osob a řízení proti nim, v platném znění, jakož i zahájení trestního stíhání proti Zhotoviteli podle zákona č. 141/1961 Sb., o trestním řízení soudním, v platném znění. Zhotovitel prohlašuje, že se seznámil se základními etickými zásadami společnosti (Objednatele), a zavazuje se dodržovat je na vlastní náklady a odpovědnost při plnění povinností, dluhů plynoucích z této Smlouvy. Základní etické zásady společnosti jsou uveřejněny na adrese </w:t>
      </w:r>
      <w:hyperlink r:id="rId10" w:history="1">
        <w:r w:rsidR="001C10CE" w:rsidRPr="005A0DA1">
          <w:rPr>
            <w:rStyle w:val="Hypertextovodkaz"/>
            <w:iCs/>
          </w:rPr>
          <w:t>https://www.ceproas.cz/eticky-kodex</w:t>
        </w:r>
      </w:hyperlink>
      <w:r w:rsidRPr="00984653">
        <w:rPr>
          <w:iCs/>
        </w:rPr>
        <w:t>.</w:t>
      </w:r>
    </w:p>
    <w:p w:rsidR="001C10CE" w:rsidRPr="00984653" w:rsidRDefault="001C10CE" w:rsidP="00984653">
      <w:pPr>
        <w:pStyle w:val="Odstavec2"/>
        <w:rPr>
          <w:iCs/>
        </w:rPr>
      </w:pPr>
      <w:r>
        <w:t>Zhotovitel se touto Smlouvou zavazuje a prohlašuje, že naplňuje a bude po celou dobu trvání této Smlouvy dodržovat a splňovat kritéria a standardy chování v obchodním styku specifikované a Objednatelem uveřejněné na adrese</w:t>
      </w:r>
      <w:r>
        <w:rPr>
          <w:color w:val="1F497D"/>
        </w:rPr>
        <w:t xml:space="preserve"> </w:t>
      </w:r>
      <w:hyperlink r:id="rId11" w:history="1">
        <w:r>
          <w:rPr>
            <w:rStyle w:val="Hypertextovodkaz"/>
          </w:rPr>
          <w:t>https://www.ceproas.cz/vyberova-rizeni</w:t>
        </w:r>
      </w:hyperlink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č. 89/2012 Sb., občanského zákoníku,</w:t>
      </w:r>
      <w:r w:rsidR="006857A4">
        <w:t xml:space="preserve"> se na vztah založený touto Smlouvou nepoužijí</w:t>
      </w:r>
      <w:r w:rsidR="002525FB">
        <w:t xml:space="preserve">. Smluvní strany se dále s ohledem na povahu Smlouvy dohodly, že Zhotovitel přebírá na sebe nebezpečí změny okolností ve smyslu </w:t>
      </w:r>
      <w:proofErr w:type="spellStart"/>
      <w:r w:rsidR="002525FB">
        <w:t>ust</w:t>
      </w:r>
      <w:proofErr w:type="spellEnd"/>
      <w:r w:rsidR="002525FB">
        <w:t>. § 2620 odst. 2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</w:t>
      </w:r>
      <w:proofErr w:type="spellStart"/>
      <w:r w:rsidR="002525FB">
        <w:t>ust</w:t>
      </w:r>
      <w:proofErr w:type="spellEnd"/>
      <w:r w:rsidR="002525FB">
        <w:t xml:space="preserve">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B32B0" w:rsidRPr="00BA59A8" w:rsidRDefault="00BA59A8" w:rsidP="00BB32B0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r w:rsidRPr="00BA59A8">
        <w:lastRenderedPageBreak/>
        <w:t xml:space="preserve">Tato Smlouva byla </w:t>
      </w:r>
      <w:r w:rsidR="007635BE">
        <w:t>S</w:t>
      </w:r>
      <w:r w:rsidRPr="00BA59A8">
        <w:t xml:space="preserve">mluvními stranami podepsána </w:t>
      </w:r>
      <w:r w:rsidRPr="00CD5335">
        <w:t>ve čtyřech</w:t>
      </w:r>
      <w:r w:rsidRPr="00BA59A8">
        <w:t xml:space="preserve"> vyhotoveních, z nichž každá ze </w:t>
      </w:r>
      <w:r w:rsidR="007758B7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C20DC" w:rsidRPr="002C20DC" w:rsidRDefault="002C20DC" w:rsidP="002C20DC"/>
    <w:p w:rsidR="001265C5" w:rsidRPr="007635BE" w:rsidRDefault="001265C5" w:rsidP="001265C5">
      <w:pPr>
        <w:pStyle w:val="Odstavec2"/>
        <w:rPr>
          <w:rStyle w:val="Hypertextovodkaz"/>
          <w:color w:val="auto"/>
          <w:u w:val="none"/>
        </w:rPr>
      </w:pPr>
      <w:r>
        <w:t xml:space="preserve">VOP jsou uveřejněna na adrese </w:t>
      </w:r>
      <w:hyperlink r:id="rId12" w:history="1">
        <w:r w:rsidR="003F7282" w:rsidRPr="003A4FB3">
          <w:rPr>
            <w:rStyle w:val="Hypertextovodkaz"/>
          </w:rPr>
          <w:t>https://www.ceproas.cz/public/data/VOP-M-2013-10-14.pdf</w:t>
        </w:r>
      </w:hyperlink>
    </w:p>
    <w:p w:rsidR="007635BE" w:rsidRDefault="007635BE" w:rsidP="000D6CC2">
      <w:pPr>
        <w:pStyle w:val="Odstavecseseznamem"/>
      </w:pPr>
    </w:p>
    <w:p w:rsidR="007635BE" w:rsidRDefault="007635BE" w:rsidP="000D6CC2">
      <w:pPr>
        <w:pStyle w:val="Odstavec3"/>
      </w:pPr>
      <w:r>
        <w:t xml:space="preserve">Smluvní strany sjednávají, že čl. </w:t>
      </w:r>
      <w:r w:rsidR="00FC7C35">
        <w:t xml:space="preserve">VOP </w:t>
      </w:r>
      <w:r>
        <w:t xml:space="preserve">6.3 a 6.7 se na vztah Smluvních stran založený touto Smlouvou neuplatní. </w:t>
      </w:r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Default="0021315A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p w:rsidR="00685027" w:rsidRDefault="00685027" w:rsidP="0021315A"/>
    <w:sectPr w:rsidR="00685027" w:rsidSect="008A5C94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D78" w:rsidRDefault="002B0D78">
      <w:r>
        <w:separator/>
      </w:r>
    </w:p>
  </w:endnote>
  <w:endnote w:type="continuationSeparator" w:id="0">
    <w:p w:rsidR="002B0D78" w:rsidRDefault="002B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57087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82DA82D" wp14:editId="6A99A37B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D50A14">
      <w:rPr>
        <w:rStyle w:val="slostrnky"/>
        <w:noProof/>
      </w:rPr>
      <w:t>3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D50A14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D78" w:rsidRDefault="002B0D78">
      <w:r>
        <w:separator/>
      </w:r>
    </w:p>
  </w:footnote>
  <w:footnote w:type="continuationSeparator" w:id="0">
    <w:p w:rsidR="002B0D78" w:rsidRDefault="002B0D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4085"/>
    <w:multiLevelType w:val="hybridMultilevel"/>
    <w:tmpl w:val="E67809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CD29D5"/>
    <w:multiLevelType w:val="hybridMultilevel"/>
    <w:tmpl w:val="012A019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3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5">
    <w:nsid w:val="6504202F"/>
    <w:multiLevelType w:val="multilevel"/>
    <w:tmpl w:val="C34CB67E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6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9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5"/>
  </w:num>
  <w:num w:numId="5">
    <w:abstractNumId w:val="15"/>
  </w:num>
  <w:num w:numId="6">
    <w:abstractNumId w:val="15"/>
  </w:num>
  <w:num w:numId="7">
    <w:abstractNumId w:val="8"/>
  </w:num>
  <w:num w:numId="8">
    <w:abstractNumId w:val="18"/>
  </w:num>
  <w:num w:numId="9">
    <w:abstractNumId w:val="15"/>
  </w:num>
  <w:num w:numId="10">
    <w:abstractNumId w:val="15"/>
  </w:num>
  <w:num w:numId="11">
    <w:abstractNumId w:val="15"/>
  </w:num>
  <w:num w:numId="12">
    <w:abstractNumId w:val="8"/>
  </w:num>
  <w:num w:numId="13">
    <w:abstractNumId w:val="15"/>
  </w:num>
  <w:num w:numId="14">
    <w:abstractNumId w:val="12"/>
  </w:num>
  <w:num w:numId="15">
    <w:abstractNumId w:val="12"/>
  </w:num>
  <w:num w:numId="16">
    <w:abstractNumId w:val="15"/>
  </w:num>
  <w:num w:numId="17">
    <w:abstractNumId w:val="15"/>
  </w:num>
  <w:num w:numId="18">
    <w:abstractNumId w:val="15"/>
  </w:num>
  <w:num w:numId="19">
    <w:abstractNumId w:val="8"/>
  </w:num>
  <w:num w:numId="20">
    <w:abstractNumId w:val="15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5"/>
  </w:num>
  <w:num w:numId="26">
    <w:abstractNumId w:val="10"/>
  </w:num>
  <w:num w:numId="27">
    <w:abstractNumId w:val="1"/>
  </w:num>
  <w:num w:numId="28">
    <w:abstractNumId w:val="16"/>
  </w:num>
  <w:num w:numId="29">
    <w:abstractNumId w:val="13"/>
  </w:num>
  <w:num w:numId="30">
    <w:abstractNumId w:val="6"/>
  </w:num>
  <w:num w:numId="31">
    <w:abstractNumId w:val="20"/>
  </w:num>
  <w:num w:numId="32">
    <w:abstractNumId w:val="2"/>
  </w:num>
  <w:num w:numId="33">
    <w:abstractNumId w:val="11"/>
  </w:num>
  <w:num w:numId="34">
    <w:abstractNumId w:val="17"/>
  </w:num>
  <w:num w:numId="35">
    <w:abstractNumId w:val="7"/>
  </w:num>
  <w:num w:numId="36">
    <w:abstractNumId w:val="15"/>
  </w:num>
  <w:num w:numId="37">
    <w:abstractNumId w:val="15"/>
  </w:num>
  <w:num w:numId="38">
    <w:abstractNumId w:val="9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0BAA"/>
    <w:rsid w:val="000038D7"/>
    <w:rsid w:val="00027D65"/>
    <w:rsid w:val="00034143"/>
    <w:rsid w:val="0007144A"/>
    <w:rsid w:val="00075F35"/>
    <w:rsid w:val="00083C04"/>
    <w:rsid w:val="000863F0"/>
    <w:rsid w:val="000A71AC"/>
    <w:rsid w:val="000C04EF"/>
    <w:rsid w:val="000C4AA9"/>
    <w:rsid w:val="000D19D8"/>
    <w:rsid w:val="000D6CC2"/>
    <w:rsid w:val="000E447C"/>
    <w:rsid w:val="001009F0"/>
    <w:rsid w:val="001265C5"/>
    <w:rsid w:val="00133037"/>
    <w:rsid w:val="001334ED"/>
    <w:rsid w:val="001651CE"/>
    <w:rsid w:val="00176B5F"/>
    <w:rsid w:val="001C10CE"/>
    <w:rsid w:val="001E16F4"/>
    <w:rsid w:val="001E406E"/>
    <w:rsid w:val="001F253F"/>
    <w:rsid w:val="00204984"/>
    <w:rsid w:val="00207437"/>
    <w:rsid w:val="0021315A"/>
    <w:rsid w:val="00216448"/>
    <w:rsid w:val="00225234"/>
    <w:rsid w:val="00245A60"/>
    <w:rsid w:val="00245CA9"/>
    <w:rsid w:val="002525FB"/>
    <w:rsid w:val="00280022"/>
    <w:rsid w:val="00283D22"/>
    <w:rsid w:val="002B0D78"/>
    <w:rsid w:val="002C20DC"/>
    <w:rsid w:val="002E16FB"/>
    <w:rsid w:val="002F1B3A"/>
    <w:rsid w:val="002F6183"/>
    <w:rsid w:val="00302D93"/>
    <w:rsid w:val="00316F94"/>
    <w:rsid w:val="0031724E"/>
    <w:rsid w:val="003565F4"/>
    <w:rsid w:val="00363594"/>
    <w:rsid w:val="00385E5D"/>
    <w:rsid w:val="003A74EE"/>
    <w:rsid w:val="003B68C3"/>
    <w:rsid w:val="003C6E40"/>
    <w:rsid w:val="003D2507"/>
    <w:rsid w:val="003D609E"/>
    <w:rsid w:val="003E74EF"/>
    <w:rsid w:val="003F629A"/>
    <w:rsid w:val="003F7282"/>
    <w:rsid w:val="004301E2"/>
    <w:rsid w:val="00435D9F"/>
    <w:rsid w:val="00456B6D"/>
    <w:rsid w:val="00462AE6"/>
    <w:rsid w:val="0047263C"/>
    <w:rsid w:val="0048481F"/>
    <w:rsid w:val="00492F27"/>
    <w:rsid w:val="00494CA6"/>
    <w:rsid w:val="00496072"/>
    <w:rsid w:val="004F5000"/>
    <w:rsid w:val="004F6E37"/>
    <w:rsid w:val="00520032"/>
    <w:rsid w:val="005210EE"/>
    <w:rsid w:val="00521FE0"/>
    <w:rsid w:val="005363FD"/>
    <w:rsid w:val="005555DE"/>
    <w:rsid w:val="00567199"/>
    <w:rsid w:val="00581196"/>
    <w:rsid w:val="005B51DD"/>
    <w:rsid w:val="005C5D01"/>
    <w:rsid w:val="005D1C50"/>
    <w:rsid w:val="005E6F4E"/>
    <w:rsid w:val="00620E8F"/>
    <w:rsid w:val="006318B8"/>
    <w:rsid w:val="00635D66"/>
    <w:rsid w:val="00650BD2"/>
    <w:rsid w:val="00651742"/>
    <w:rsid w:val="00655C3C"/>
    <w:rsid w:val="00656DAC"/>
    <w:rsid w:val="006719B6"/>
    <w:rsid w:val="00673F8E"/>
    <w:rsid w:val="006833FC"/>
    <w:rsid w:val="006837AD"/>
    <w:rsid w:val="00685027"/>
    <w:rsid w:val="006857A4"/>
    <w:rsid w:val="006F2ABC"/>
    <w:rsid w:val="006F5596"/>
    <w:rsid w:val="00707B5E"/>
    <w:rsid w:val="00710BED"/>
    <w:rsid w:val="00721C8A"/>
    <w:rsid w:val="00726482"/>
    <w:rsid w:val="007344D8"/>
    <w:rsid w:val="007535B1"/>
    <w:rsid w:val="007635BE"/>
    <w:rsid w:val="007758B7"/>
    <w:rsid w:val="00790973"/>
    <w:rsid w:val="007945EE"/>
    <w:rsid w:val="007B0C02"/>
    <w:rsid w:val="007B1761"/>
    <w:rsid w:val="007B57AA"/>
    <w:rsid w:val="007F3FC6"/>
    <w:rsid w:val="007F6DE2"/>
    <w:rsid w:val="00820FF3"/>
    <w:rsid w:val="00847822"/>
    <w:rsid w:val="00894212"/>
    <w:rsid w:val="008A5C94"/>
    <w:rsid w:val="008C7BBB"/>
    <w:rsid w:val="008F33E5"/>
    <w:rsid w:val="008F48B5"/>
    <w:rsid w:val="00901C65"/>
    <w:rsid w:val="00907033"/>
    <w:rsid w:val="00913F51"/>
    <w:rsid w:val="00926145"/>
    <w:rsid w:val="009413F1"/>
    <w:rsid w:val="00943043"/>
    <w:rsid w:val="009518BD"/>
    <w:rsid w:val="00954C35"/>
    <w:rsid w:val="009572CC"/>
    <w:rsid w:val="00984653"/>
    <w:rsid w:val="00984CBC"/>
    <w:rsid w:val="00986F82"/>
    <w:rsid w:val="009A0F9B"/>
    <w:rsid w:val="009B030A"/>
    <w:rsid w:val="009C6A0D"/>
    <w:rsid w:val="00A123F2"/>
    <w:rsid w:val="00A641D8"/>
    <w:rsid w:val="00A657FF"/>
    <w:rsid w:val="00AB08E3"/>
    <w:rsid w:val="00AE3CC7"/>
    <w:rsid w:val="00AF2E26"/>
    <w:rsid w:val="00AF4799"/>
    <w:rsid w:val="00AF68B0"/>
    <w:rsid w:val="00B013E2"/>
    <w:rsid w:val="00B01A17"/>
    <w:rsid w:val="00B05A0F"/>
    <w:rsid w:val="00B20BE0"/>
    <w:rsid w:val="00B35620"/>
    <w:rsid w:val="00B5049B"/>
    <w:rsid w:val="00B54C39"/>
    <w:rsid w:val="00B9564E"/>
    <w:rsid w:val="00B96459"/>
    <w:rsid w:val="00BA556D"/>
    <w:rsid w:val="00BA59A8"/>
    <w:rsid w:val="00BB32B0"/>
    <w:rsid w:val="00BC5234"/>
    <w:rsid w:val="00BE18A9"/>
    <w:rsid w:val="00BE2E82"/>
    <w:rsid w:val="00C25681"/>
    <w:rsid w:val="00C30D59"/>
    <w:rsid w:val="00C43689"/>
    <w:rsid w:val="00C43AEE"/>
    <w:rsid w:val="00C44D59"/>
    <w:rsid w:val="00C75ADF"/>
    <w:rsid w:val="00C76545"/>
    <w:rsid w:val="00C962BE"/>
    <w:rsid w:val="00C96D70"/>
    <w:rsid w:val="00CC27AA"/>
    <w:rsid w:val="00CD1BFE"/>
    <w:rsid w:val="00CD2448"/>
    <w:rsid w:val="00CD5335"/>
    <w:rsid w:val="00CE2F42"/>
    <w:rsid w:val="00D16993"/>
    <w:rsid w:val="00D17CE0"/>
    <w:rsid w:val="00D50A14"/>
    <w:rsid w:val="00D51173"/>
    <w:rsid w:val="00D600AD"/>
    <w:rsid w:val="00DB1E28"/>
    <w:rsid w:val="00DD57F1"/>
    <w:rsid w:val="00DD6392"/>
    <w:rsid w:val="00DD6CED"/>
    <w:rsid w:val="00E00091"/>
    <w:rsid w:val="00E0360B"/>
    <w:rsid w:val="00E26075"/>
    <w:rsid w:val="00E26FB2"/>
    <w:rsid w:val="00E322F9"/>
    <w:rsid w:val="00E33C6F"/>
    <w:rsid w:val="00E44CD0"/>
    <w:rsid w:val="00E57087"/>
    <w:rsid w:val="00E66C0B"/>
    <w:rsid w:val="00E849D8"/>
    <w:rsid w:val="00E852B7"/>
    <w:rsid w:val="00E87A47"/>
    <w:rsid w:val="00EA0733"/>
    <w:rsid w:val="00EA3690"/>
    <w:rsid w:val="00EA78B7"/>
    <w:rsid w:val="00EA7905"/>
    <w:rsid w:val="00EE7791"/>
    <w:rsid w:val="00EF60C4"/>
    <w:rsid w:val="00F02469"/>
    <w:rsid w:val="00F14E5A"/>
    <w:rsid w:val="00F21D61"/>
    <w:rsid w:val="00F26914"/>
    <w:rsid w:val="00F27CC1"/>
    <w:rsid w:val="00F67041"/>
    <w:rsid w:val="00F7021B"/>
    <w:rsid w:val="00F771E8"/>
    <w:rsid w:val="00F777DB"/>
    <w:rsid w:val="00F972BF"/>
    <w:rsid w:val="00FC188C"/>
    <w:rsid w:val="00FC7C35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ceproas.cz/vyberova-rizen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eproas.cz/eticky-kode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pro_DF@ceproas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34</TotalTime>
  <Pages>8</Pages>
  <Words>2638</Words>
  <Characters>15566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12</cp:revision>
  <cp:lastPrinted>2014-05-21T11:22:00Z</cp:lastPrinted>
  <dcterms:created xsi:type="dcterms:W3CDTF">2014-05-21T09:14:00Z</dcterms:created>
  <dcterms:modified xsi:type="dcterms:W3CDTF">2014-05-21T11:34:00Z</dcterms:modified>
</cp:coreProperties>
</file>